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惠州市国有建设用地使用权</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网上挂牌出让须知</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惠公易土市直[2021]046号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（一）挂牌地块编号：GP2021-</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惠州市惠城区江北南区</w:t>
      </w:r>
      <w:r>
        <w:rPr>
          <w:rFonts w:hint="eastAsia" w:ascii="仿宋_GB2312" w:hAnsi="仿宋_GB2312" w:eastAsia="仿宋_GB2312" w:cs="仿宋_GB2312"/>
          <w:sz w:val="32"/>
          <w:szCs w:val="32"/>
        </w:rPr>
        <w:t>JB14-2-3-1</w:t>
      </w:r>
      <w:r>
        <w:rPr>
          <w:rFonts w:hint="eastAsia" w:ascii="仿宋_GB2312" w:hAnsi="仿宋_GB2312" w:eastAsia="仿宋_GB2312" w:cs="仿宋_GB2312"/>
          <w:sz w:val="32"/>
          <w:szCs w:val="32"/>
          <w:lang w:eastAsia="zh-CN"/>
        </w:rPr>
        <w:t>（地下空间）</w:t>
      </w:r>
      <w:r>
        <w:rPr>
          <w:rFonts w:hint="eastAsia" w:ascii="仿宋_GB2312" w:hAnsi="仿宋_GB2312" w:eastAsia="仿宋_GB2312" w:cs="仿宋_GB2312"/>
          <w:sz w:val="32"/>
          <w:szCs w:val="32"/>
          <w:lang w:val="en-US" w:eastAsia="zh-CN"/>
        </w:rPr>
        <w:t>地块</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用地</w:t>
      </w:r>
      <w:r>
        <w:rPr>
          <w:rFonts w:hint="eastAsia" w:ascii="仿宋_GB2312" w:hAnsi="仿宋_GB2312" w:eastAsia="仿宋_GB2312" w:cs="仿宋_GB2312"/>
          <w:sz w:val="32"/>
          <w:szCs w:val="32"/>
        </w:rPr>
        <w:t>编号：JB14-2-3-1;</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（四）地块范围：</w:t>
      </w:r>
      <w:r>
        <w:rPr>
          <w:rFonts w:hint="default" w:ascii="仿宋_GB2312" w:hAnsi="仿宋_GB2312" w:eastAsia="仿宋_GB2312" w:cs="仿宋_GB2312"/>
          <w:sz w:val="32"/>
          <w:szCs w:val="32"/>
        </w:rPr>
        <w:t>平面界址点以《建设用地红线图》为准，宗地竖向界限以《建设用地规划设计条件（案卷编号：PB202100</w:t>
      </w:r>
      <w:r>
        <w:rPr>
          <w:rFonts w:hint="eastAsia" w:ascii="仿宋_GB2312" w:hAnsi="仿宋_GB2312" w:eastAsia="仿宋_GB2312" w:cs="仿宋_GB2312"/>
          <w:sz w:val="32"/>
          <w:szCs w:val="32"/>
          <w:lang w:val="en-US" w:eastAsia="zh-CN"/>
        </w:rPr>
        <w:t>39</w:t>
      </w:r>
      <w:r>
        <w:rPr>
          <w:rFonts w:hint="default" w:ascii="仿宋_GB2312" w:hAnsi="仿宋_GB2312" w:eastAsia="仿宋_GB2312" w:cs="仿宋_GB2312"/>
          <w:sz w:val="32"/>
          <w:szCs w:val="32"/>
        </w:rPr>
        <w:t>）》规定为准</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地下室</w:t>
      </w:r>
      <w:r>
        <w:rPr>
          <w:rFonts w:hint="eastAsia" w:ascii="仿宋_GB2312" w:hAnsi="仿宋_GB2312" w:eastAsia="仿宋_GB2312" w:cs="仿宋_GB2312"/>
          <w:sz w:val="32"/>
          <w:szCs w:val="32"/>
        </w:rPr>
        <w:t>宗地使用权面积为：</w:t>
      </w:r>
      <w:r>
        <w:rPr>
          <w:rFonts w:hint="eastAsia" w:ascii="仿宋_GB2312" w:hAnsi="仿宋_GB2312" w:eastAsia="仿宋_GB2312" w:cs="仿宋_GB2312"/>
          <w:sz w:val="32"/>
          <w:szCs w:val="32"/>
          <w:lang w:val="en-US" w:eastAsia="zh-CN"/>
        </w:rPr>
        <w:t>5390.59</w:t>
      </w:r>
      <w:r>
        <w:rPr>
          <w:rFonts w:hint="eastAsia" w:ascii="仿宋_GB2312" w:hAnsi="仿宋_GB2312" w:eastAsia="仿宋_GB2312" w:cs="仿宋_GB2312"/>
          <w:sz w:val="32"/>
          <w:szCs w:val="32"/>
        </w:rPr>
        <w:t>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7005</w:t>
      </w:r>
      <w:r>
        <w:rPr>
          <w:rFonts w:hint="eastAsia" w:ascii="仿宋_GB2312" w:hAnsi="仿宋_GB2312" w:eastAsia="仿宋_GB2312" w:cs="仿宋_GB2312"/>
          <w:sz w:val="32"/>
          <w:szCs w:val="32"/>
        </w:rPr>
        <w:t>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（七）计容积率建筑面积为：≤1</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交通服务场站用地</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）土地使用权出让年期为：交通服务场站用地50年；</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（十）适建性：</w:t>
      </w:r>
      <w:r>
        <w:rPr>
          <w:rFonts w:hint="eastAsia" w:ascii="仿宋_GB2312" w:hAnsi="仿宋_GB2312" w:eastAsia="仿宋_GB2312" w:cs="仿宋_GB2312"/>
          <w:sz w:val="32"/>
          <w:szCs w:val="32"/>
          <w:lang w:val="en-US" w:eastAsia="zh-CN"/>
        </w:rPr>
        <w:t>小学运动场、停车库及配建设施</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机动车停车位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地下自走式公共停车位≥270个</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动工及竣工时间：该地块的动工时间为地块交付之日起</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年内，竣工时间为动工之日起三年内（因不可抗拒因素除外）；</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）竞得人在缴清地价款后一个月内办理交地手续，凭《交地确认书》、《出让合同》（正本）和地价款交款凭证等申请办理土地初始登记，领取《不动产权证书》。</w:t>
      </w:r>
      <w:r>
        <w:rPr>
          <w:rFonts w:hint="eastAsia" w:ascii="宋体" w:hAnsi="宋体" w:eastAsia="宋体" w:cs="宋体"/>
          <w:sz w:val="25"/>
          <w:szCs w:val="25"/>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四、土地开发及使用规定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color w:val="auto"/>
          <w:sz w:val="32"/>
          <w:szCs w:val="32"/>
          <w:lang w:val="en-US" w:eastAsia="zh-CN"/>
        </w:rPr>
        <w:t>3850</w:t>
      </w:r>
      <w:r>
        <w:rPr>
          <w:rFonts w:hint="eastAsia" w:ascii="仿宋_GB2312" w:hAnsi="仿宋_GB2312" w:eastAsia="仿宋_GB2312" w:cs="仿宋_GB2312"/>
          <w:sz w:val="32"/>
          <w:szCs w:val="32"/>
        </w:rPr>
        <w:t>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sz w:val="32"/>
          <w:szCs w:val="32"/>
        </w:rPr>
        <w:t>土地成交价款须以人民币支付，竞得人须在签订《出让合同》之日起一个月内缴清土地成交价款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default" w:ascii="Times New Roman" w:hAnsi="Times New Roman" w:eastAsia="仿宋_GB2312" w:cs="Times New Roman"/>
          <w:kern w:val="2"/>
          <w:sz w:val="32"/>
          <w:szCs w:val="32"/>
          <w:highlight w:val="none"/>
        </w:rPr>
        <w:t>竞得人在用地红线内开发建设必须符合城市规划要求，必须按《</w:t>
      </w:r>
      <w:r>
        <w:rPr>
          <w:rFonts w:hint="default" w:ascii="Times New Roman" w:hAnsi="Times New Roman" w:eastAsia="仿宋_GB2312" w:cs="Times New Roman"/>
          <w:kern w:val="2"/>
          <w:sz w:val="32"/>
          <w:szCs w:val="32"/>
        </w:rPr>
        <w:t>建设用地规划设计条件</w:t>
      </w:r>
      <w:r>
        <w:rPr>
          <w:rFonts w:hint="default" w:ascii="Times New Roman" w:hAnsi="Times New Roman" w:eastAsia="仿宋_GB2312" w:cs="Times New Roman"/>
          <w:kern w:val="2"/>
          <w:sz w:val="32"/>
          <w:szCs w:val="32"/>
          <w:highlight w:val="none"/>
        </w:rPr>
        <w:t>》（案卷编号：PB202100</w:t>
      </w:r>
      <w:r>
        <w:rPr>
          <w:rFonts w:hint="eastAsia" w:ascii="Times New Roman" w:hAnsi="Times New Roman" w:eastAsia="仿宋_GB2312" w:cs="Times New Roman"/>
          <w:kern w:val="2"/>
          <w:sz w:val="32"/>
          <w:szCs w:val="32"/>
          <w:highlight w:val="none"/>
          <w:lang w:val="en-US" w:eastAsia="zh-CN"/>
        </w:rPr>
        <w:t>3</w:t>
      </w:r>
      <w:r>
        <w:rPr>
          <w:rFonts w:hint="default" w:ascii="Times New Roman" w:hAnsi="Times New Roman" w:eastAsia="仿宋_GB2312" w:cs="Times New Roman"/>
          <w:kern w:val="2"/>
          <w:sz w:val="32"/>
          <w:szCs w:val="32"/>
          <w:highlight w:val="none"/>
          <w:lang w:val="en-US" w:eastAsia="zh-CN"/>
        </w:rPr>
        <w:t>9</w:t>
      </w:r>
      <w:r>
        <w:rPr>
          <w:rFonts w:hint="default" w:ascii="Times New Roman" w:hAnsi="Times New Roman" w:eastAsia="仿宋_GB2312" w:cs="Times New Roman"/>
          <w:kern w:val="2"/>
          <w:sz w:val="32"/>
          <w:szCs w:val="32"/>
          <w:highlight w:val="none"/>
        </w:rPr>
        <w:t>）规划控制指标要求及有关规定进行规划设计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default" w:ascii="Times New Roman" w:hAnsi="Times New Roman" w:eastAsia="仿宋_GB2312" w:cs="Times New Roman"/>
          <w:kern w:val="2"/>
          <w:sz w:val="32"/>
          <w:szCs w:val="32"/>
        </w:rPr>
        <w:t>该地属政府储备地，没有法律经济纠纷，具备动工开发所必须的基本条件</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中华人民共和国境内外的法人、自然人和其他组织（除法律法规另有规定外）均可申请参加竞买。申请人可以单独申请，也可以联合申请</w:t>
      </w:r>
      <w:r>
        <w:rPr>
          <w:rFonts w:hint="eastAsia" w:ascii="仿宋_GB2312" w:hAnsi="仿宋_GB2312" w:eastAsia="仿宋_GB2312" w:cs="仿宋_GB2312"/>
          <w:kern w:val="2"/>
          <w:sz w:val="32"/>
          <w:szCs w:val="32"/>
          <w:lang w:val="en-US" w:eastAsia="zh-CN" w:bidi="ar-SA"/>
        </w:rPr>
        <w:t>。申请人还应具备下列条件：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按时足额交纳竞买保证金。该宗地竞买保证金可用人民币或外币（暂限于美元、港币）支付。以人民币缴交竞买保证金的，须缴交人民币345万元，如以外币缴交竞买保证金的，须缴交美元54万元、港币417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（三）申请人及其控股股东存在下列违法、违规、违约行为之一的，不得参与上述地块竞买活动：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1.存在伪造公文骗取用地和非法倒卖土地等犯罪行为的；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2.存在非法转让土地使用权等违法行为的；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3.因企业原因造成土地闲置一年以上且至报名日止未处罚完结的；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4.开发建设企业有违背出让合同约定条件开发利用土地情形且至报名日止未处罚完结的；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5.至报名日止仍拖欠政府地价款的;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6.被列入问题楼盘开发企业黑名单的;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7.存在其它被禁止竞买土地行为的</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六、违约及处理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sz w:val="32"/>
          <w:szCs w:val="32"/>
        </w:rPr>
        <w:t>竞得人有下列行为之一的，取消竞得人资格，</w:t>
      </w:r>
      <w:r>
        <w:rPr>
          <w:rFonts w:hint="default" w:ascii="Times New Roman" w:hAnsi="Times New Roman" w:eastAsia="仿宋_GB2312" w:cs="Times New Roman"/>
          <w:sz w:val="32"/>
          <w:szCs w:val="32"/>
          <w:lang w:val="en-US" w:eastAsia="zh-CN"/>
        </w:rPr>
        <w:t>竞买保证金不予退还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并由有关部门依法处理，</w:t>
      </w:r>
      <w:r>
        <w:rPr>
          <w:rFonts w:hint="default" w:ascii="Times New Roman" w:hAnsi="Times New Roman" w:eastAsia="仿宋_GB2312" w:cs="Times New Roman"/>
          <w:sz w:val="32"/>
          <w:szCs w:val="32"/>
        </w:rPr>
        <w:t>造成损失的，竞得人还应依法承担赔偿责任</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（一）不符合竞买资格条件的。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（二）采取行贿、恶意串通等非法手段竞得的。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（三）竞得人以其他非法手段竞得的。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（四）竞得人逾期或拒绝签订《成交确认书》的。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（五）竞得人逾期或拒绝签订《出让合同》的。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（六）不按本须知规定提供有关纸质文件材料，或提供虚假文件材料、隐瞒重要事实，引起交易纠纷的。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_GB2312" w:hAnsi="仿宋_GB2312" w:eastAsia="仿宋_GB2312" w:cs="仿宋_GB2312"/>
          <w:kern w:val="2"/>
          <w:sz w:val="32"/>
          <w:szCs w:val="32"/>
          <w:lang w:val="en-US" w:eastAsia="zh-CN" w:bidi="ar-SA"/>
        </w:rPr>
        <w:t>（七）构成违约责任的其他行为。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七、网上挂牌出让地块的起始价、增加幅度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挂牌起始价为人民币</w:t>
      </w:r>
      <w:r>
        <w:rPr>
          <w:rFonts w:hint="eastAsia" w:ascii="仿宋_GB2312" w:hAnsi="仿宋_GB2312" w:eastAsia="仿宋_GB2312" w:cs="仿宋_GB2312"/>
          <w:kern w:val="2"/>
          <w:sz w:val="32"/>
          <w:szCs w:val="32"/>
          <w:u w:val="single"/>
          <w:lang w:val="en-US" w:eastAsia="zh-CN" w:bidi="ar-SA"/>
        </w:rPr>
        <w:t>壹仟壹佰伍拾万元整</w:t>
      </w:r>
      <w:r>
        <w:rPr>
          <w:rFonts w:hint="eastAsia" w:ascii="仿宋_GB2312" w:hAnsi="仿宋_GB2312" w:eastAsia="仿宋_GB2312" w:cs="仿宋_GB2312"/>
          <w:kern w:val="2"/>
          <w:sz w:val="32"/>
          <w:szCs w:val="32"/>
          <w:lang w:val="en-US" w:eastAsia="zh-CN" w:bidi="ar-SA"/>
        </w:rPr>
        <w:t>（大写）（￥</w:t>
      </w:r>
      <w:r>
        <w:rPr>
          <w:rFonts w:hint="eastAsia" w:ascii="仿宋_GB2312" w:hAnsi="仿宋_GB2312" w:eastAsia="仿宋_GB2312" w:cs="仿宋_GB2312"/>
          <w:kern w:val="2"/>
          <w:sz w:val="32"/>
          <w:szCs w:val="32"/>
          <w:u w:val="single"/>
          <w:lang w:val="en-US" w:eastAsia="zh-CN" w:bidi="ar-SA"/>
        </w:rPr>
        <w:t>1150</w:t>
      </w:r>
      <w:r>
        <w:rPr>
          <w:rFonts w:hint="eastAsia" w:ascii="仿宋_GB2312" w:hAnsi="仿宋_GB2312" w:eastAsia="仿宋_GB2312" w:cs="仿宋_GB2312"/>
          <w:kern w:val="2"/>
          <w:sz w:val="32"/>
          <w:szCs w:val="32"/>
          <w:lang w:val="en-US" w:eastAsia="zh-CN" w:bidi="ar-SA"/>
        </w:rPr>
        <w:t>万元）,增价幅度为人民币</w:t>
      </w:r>
      <w:r>
        <w:rPr>
          <w:rFonts w:hint="eastAsia" w:ascii="仿宋_GB2312" w:hAnsi="仿宋_GB2312" w:eastAsia="仿宋_GB2312" w:cs="仿宋_GB2312"/>
          <w:kern w:val="2"/>
          <w:sz w:val="32"/>
          <w:szCs w:val="32"/>
          <w:u w:val="single"/>
          <w:lang w:val="en-US" w:eastAsia="zh-CN" w:bidi="ar-SA"/>
        </w:rPr>
        <w:t>伍拾万元</w:t>
      </w:r>
      <w:r>
        <w:rPr>
          <w:rFonts w:hint="eastAsia" w:ascii="仿宋_GB2312" w:hAnsi="仿宋_GB2312" w:eastAsia="仿宋_GB2312" w:cs="仿宋_GB2312"/>
          <w:kern w:val="2"/>
          <w:sz w:val="32"/>
          <w:szCs w:val="32"/>
          <w:lang w:val="en-US" w:eastAsia="zh-CN" w:bidi="ar-SA"/>
        </w:rPr>
        <w:t>（大写）（￥</w:t>
      </w:r>
      <w:r>
        <w:rPr>
          <w:rFonts w:hint="eastAsia" w:ascii="仿宋_GB2312" w:hAnsi="仿宋_GB2312" w:eastAsia="仿宋_GB2312" w:cs="仿宋_GB2312"/>
          <w:kern w:val="2"/>
          <w:sz w:val="32"/>
          <w:szCs w:val="32"/>
          <w:u w:val="single"/>
          <w:lang w:val="en-US" w:eastAsia="zh-CN" w:bidi="ar-SA"/>
        </w:rPr>
        <w:t>50</w:t>
      </w:r>
      <w:r>
        <w:rPr>
          <w:rFonts w:hint="eastAsia" w:ascii="仿宋_GB2312" w:hAnsi="仿宋_GB2312" w:eastAsia="仿宋_GB2312" w:cs="仿宋_GB2312"/>
          <w:kern w:val="2"/>
          <w:sz w:val="32"/>
          <w:szCs w:val="32"/>
          <w:lang w:val="en-US" w:eastAsia="zh-CN" w:bidi="ar-SA"/>
        </w:rPr>
        <w:t>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八、本次网上挂牌出让活动有关时间</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网上挂牌时间为10个工作日，不包括法定节假日。具体如下：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（一）网上挂牌起始时间：2021年11月23日9时。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（二）网上挂牌截止时间：2021年12月7日10时。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（三）网上挂牌交纳保证金截止时间：2021年12月7日9时。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（四）网上挂牌报价时间：网上挂牌起止时间内。</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九、挂牌文件获取</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rPr>
        <w:t>《建设用地规划设计条件》（案卷编号：PB202100</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sz w:val="32"/>
          <w:szCs w:val="32"/>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《国有建设用地使用权出让合同》（以下简称“出让合同”）样本；</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sz w:val="32"/>
          <w:szCs w:val="32"/>
          <w:lang w:val="en-US" w:eastAsia="zh-CN"/>
        </w:rPr>
        <w:t>8、其他相关文件</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十、办理数字证书</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w:t>
      </w:r>
      <w:r>
        <w:rPr>
          <w:rFonts w:hint="eastAsia" w:ascii="仿宋_GB2312" w:hAnsi="仿宋_GB2312" w:eastAsia="仿宋_GB2312" w:cs="仿宋_GB2312"/>
          <w:sz w:val="32"/>
          <w:szCs w:val="32"/>
        </w:rPr>
        <w:t>0752-7121029</w:t>
      </w:r>
      <w:r>
        <w:rPr>
          <w:rFonts w:hint="eastAsia" w:ascii="仿宋_GB2312" w:hAnsi="仿宋_GB2312" w:eastAsia="仿宋_GB2312" w:cs="仿宋_GB2312"/>
          <w:sz w:val="32"/>
          <w:szCs w:val="32"/>
          <w:highlight w:val="none"/>
        </w:rPr>
        <w:t>）申请办理。</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数字证书的办理流程详见网上挂牌交易系统上的《数字证书办理指南》</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十一、答疑及现场踏勘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申请人对网上挂牌出让文件有疑问的，可在网上挂牌活动开始前以书面或者口头方式向本中心咨询。有意竞买者可自行踏勘现场。（可在网上查阅位置图和现状图）。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十二、竞买保证金</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（一）竞买保证金是申请人参加网上挂牌交易活动的资格条件。按规定将竞买保证金汇入指定账户，是参加网上挂牌交易活动的必经程序。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（二）本宗地竞买保证金到账截止时间为2021年12月7日9时整，竞买保证金为人民币</w:t>
      </w:r>
      <w:r>
        <w:rPr>
          <w:rFonts w:hint="eastAsia" w:ascii="仿宋_GB2312" w:hAnsi="仿宋_GB2312" w:eastAsia="仿宋_GB2312" w:cs="仿宋_GB2312"/>
          <w:kern w:val="2"/>
          <w:sz w:val="32"/>
          <w:szCs w:val="32"/>
          <w:u w:val="single"/>
          <w:lang w:val="en-US" w:eastAsia="zh-CN" w:bidi="ar-SA"/>
        </w:rPr>
        <w:t>叁佰肆拾伍万元整</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bCs w:val="0"/>
          <w:kern w:val="2"/>
          <w:sz w:val="32"/>
          <w:szCs w:val="32"/>
          <w:u w:val="single"/>
          <w:lang w:val="en-US" w:eastAsia="zh-CN" w:bidi="ar-SA"/>
        </w:rPr>
        <w:t>345</w:t>
      </w:r>
      <w:r>
        <w:rPr>
          <w:rFonts w:hint="eastAsia" w:ascii="仿宋_GB2312" w:hAnsi="仿宋_GB2312" w:eastAsia="仿宋_GB2312" w:cs="仿宋_GB2312"/>
          <w:kern w:val="2"/>
          <w:sz w:val="32"/>
          <w:szCs w:val="32"/>
          <w:lang w:val="en-US" w:eastAsia="zh-CN" w:bidi="ar-SA"/>
        </w:rPr>
        <w:t>万元）；如以外币缴交竞买保证金的，须缴交美元</w:t>
      </w:r>
      <w:r>
        <w:rPr>
          <w:rFonts w:hint="eastAsia" w:ascii="仿宋_GB2312" w:hAnsi="仿宋_GB2312" w:eastAsia="仿宋_GB2312" w:cs="仿宋_GB2312"/>
          <w:kern w:val="2"/>
          <w:sz w:val="32"/>
          <w:szCs w:val="32"/>
          <w:u w:val="single"/>
          <w:lang w:val="en-US" w:eastAsia="zh-CN" w:bidi="ar-SA"/>
        </w:rPr>
        <w:t>伍拾肆万元整</w:t>
      </w:r>
      <w:r>
        <w:rPr>
          <w:rFonts w:hint="eastAsia" w:ascii="仿宋_GB2312" w:hAnsi="仿宋_GB2312" w:eastAsia="仿宋_GB2312" w:cs="仿宋_GB2312"/>
          <w:kern w:val="2"/>
          <w:sz w:val="32"/>
          <w:szCs w:val="32"/>
          <w:lang w:val="en-US" w:eastAsia="zh-CN" w:bidi="ar-SA"/>
        </w:rPr>
        <w:t>(USD</w:t>
      </w:r>
      <w:r>
        <w:rPr>
          <w:rFonts w:hint="eastAsia" w:ascii="仿宋_GB2312" w:hAnsi="仿宋_GB2312" w:eastAsia="仿宋_GB2312" w:cs="仿宋_GB2312"/>
          <w:kern w:val="2"/>
          <w:sz w:val="32"/>
          <w:szCs w:val="32"/>
          <w:u w:val="single"/>
          <w:lang w:val="en-US" w:eastAsia="zh-CN" w:bidi="ar-SA"/>
        </w:rPr>
        <w:t>54</w:t>
      </w:r>
      <w:r>
        <w:rPr>
          <w:rFonts w:hint="eastAsia" w:ascii="仿宋_GB2312" w:hAnsi="仿宋_GB2312" w:eastAsia="仿宋_GB2312" w:cs="仿宋_GB2312"/>
          <w:kern w:val="2"/>
          <w:sz w:val="32"/>
          <w:szCs w:val="32"/>
          <w:lang w:val="en-US" w:eastAsia="zh-CN" w:bidi="ar-SA"/>
        </w:rPr>
        <w:t>万元）或港币</w:t>
      </w:r>
      <w:r>
        <w:rPr>
          <w:rFonts w:hint="eastAsia" w:ascii="仿宋_GB2312" w:hAnsi="仿宋_GB2312" w:eastAsia="仿宋_GB2312" w:cs="仿宋_GB2312"/>
          <w:kern w:val="2"/>
          <w:sz w:val="32"/>
          <w:szCs w:val="32"/>
          <w:u w:val="single"/>
          <w:lang w:val="en-US" w:eastAsia="zh-CN" w:bidi="ar-SA"/>
        </w:rPr>
        <w:t>肆佰壹拾柒万元整</w:t>
      </w:r>
      <w:r>
        <w:rPr>
          <w:rFonts w:hint="eastAsia" w:ascii="仿宋_GB2312" w:hAnsi="仿宋_GB2312" w:eastAsia="仿宋_GB2312" w:cs="仿宋_GB2312"/>
          <w:kern w:val="2"/>
          <w:sz w:val="32"/>
          <w:szCs w:val="32"/>
          <w:lang w:val="en-US" w:eastAsia="zh-CN" w:bidi="ar-SA"/>
        </w:rPr>
        <w:t>(HKD</w:t>
      </w:r>
      <w:r>
        <w:rPr>
          <w:rFonts w:hint="eastAsia" w:ascii="仿宋_GB2312" w:hAnsi="仿宋_GB2312" w:eastAsia="仿宋_GB2312" w:cs="仿宋_GB2312"/>
          <w:kern w:val="2"/>
          <w:sz w:val="32"/>
          <w:szCs w:val="32"/>
          <w:u w:val="single"/>
          <w:lang w:val="en-US" w:eastAsia="zh-CN" w:bidi="ar-SA"/>
        </w:rPr>
        <w:t>417</w:t>
      </w:r>
      <w:r>
        <w:rPr>
          <w:rFonts w:hint="eastAsia" w:ascii="仿宋_GB2312" w:hAnsi="仿宋_GB2312" w:eastAsia="仿宋_GB2312" w:cs="仿宋_GB2312"/>
          <w:kern w:val="2"/>
          <w:sz w:val="32"/>
          <w:szCs w:val="32"/>
          <w:lang w:val="en-US" w:eastAsia="zh-CN" w:bidi="ar-SA"/>
        </w:rPr>
        <w:t>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（三）竞买人应当提前交纳竞买保证金以确保在到账截止时间前到账，超过到账截止时间的保证金，网上挂牌交易系统将不予受理，造成的损失由竞买人自行承担。</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（四）跨地区或跨行转账的竞买人，需预足资金的在途时间，以免影响竞买人及时取得竞买资格。</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（五）竞买保证金到账时间以网上挂牌交易系统颁发《保证金到账通知书》为准。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（六）竞买保证金开户单位：惠州市公共资源交易中心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竞买保证金账号：网上挂牌交易系统随机产生子账号。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开户银行：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1、中国建设银行惠州广场支行。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2、中国银行惠州分行。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3、中国工商银行股份有限公司惠州富力国际中心支行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4、中国农业银行惠州分行。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5、广发银行惠州江北支行。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6、交通银行惠州分行。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7、惠州市农村商业银行股份有限公司惠城支行。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8、上海浦东发展银行股份有限公司惠州分行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9、中国民生银行股份有限公司惠州分行。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10、中信银行股份有限公司惠州分行。(备注:中信银行股份有限公司惠州分行本行转账须到银行柜面办理)。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十三、网上报价规则</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（一）本次网上挂牌以增价方式进行报价，每次加价幅度为本须知规定增价幅度的整数倍。</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（二）竞买人的首次报价不低于起始价，此后的竞买人报价须高于报价当时的最新网上挂牌价格，并以增价幅度的整数倍加价。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（三）竞买人通过网上挂牌交易提交的报价一经报出，不得撤回。</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（四）在报价期间，竞买人可多次报价。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（五）在报价期内，竞买人必须进行一次有效报价，才能参加网上限时竞价。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（六）竞买人报价有下列情形之一的，为无效报价：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1、报价未在网上挂牌期限内收到的。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2、报价因竞买人网络故障未在网上挂牌报价期限内收到的。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3、报价不符合报价规则的。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4、报价低于网上挂牌起始价的。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5、报价不符合网上挂牌公告、须知及相关交易文件规定的其他情形。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十四、系统操作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土地与矿业交易系统竞买人操作视频可在本中心网上挂牌交易系统（https://www.hzgtjy.com/）下载。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十五、网上挂牌程序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（一）公布网上挂牌信息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我中心将有关宗地的位置、面积、用途、使用年期、规划要求、起始价、增价规则及增价幅度等予以公布。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有意竞买者可登陆惠州市公共资源交易中心土地与矿业网上挂牌交易系统网站(https://www.hzgtjy.com/)查询。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（二）申请竞买</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（三）交纳保证金</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（四）网上挂牌报价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1、网上挂牌交易从网上挂牌起始时间起开始接受报价。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2、办理好数字证书、按时足额交付竞买保证金并经网上挂牌交易系统确认的竞买人通过网上挂牌交易系统进行报价。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3、网上挂牌交易系统对符合规定的报价予以确认，并更新显示当前报价。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4、网上挂牌交易系统继续接受新的报价。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5、网上挂牌报价规则见《须知》第十三条。</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（五）网上挂牌截止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1、网上挂牌交易系统将在网上挂牌截止时间自动确定网上挂牌截止。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2、网上挂牌交易期限截止时，无人报价的，挂牌不成交。</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3、网上挂牌交易期限截止时，只有1个竞买人报价，且报价不低于起始价的，挂牌成交，该报价者为竞得人。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网上限时竞价中无人报价的，以网上挂牌截止时出价最高且报价不低于起始价者为竞得人。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经网上挂牌交易系统询问完毕后，没有竞买人表示愿意继续竞价的，以网上挂牌交易截止时报价最高且报价不低于起始价者为竞得人。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（六）资格审查和签订《成交确认书》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highlight w:val="none"/>
        </w:rPr>
        <w:t>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highlight w:val="none"/>
        </w:rPr>
        <w:t>竞</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w:t>
      </w:r>
      <w:r>
        <w:rPr>
          <w:rFonts w:hint="eastAsia" w:ascii="仿宋_GB2312" w:hAnsi="仿宋_GB2312" w:eastAsia="仿宋_GB2312" w:cs="仿宋_GB2312"/>
          <w:color w:val="auto"/>
          <w:sz w:val="32"/>
          <w:szCs w:val="32"/>
          <w:highlight w:val="none"/>
        </w:rPr>
        <w:t>日内持公司公章及下列有关纸质材料到本中心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由委托方进行资格审查，符合竞买资格的，竞得人应当</w:t>
      </w:r>
      <w:r>
        <w:rPr>
          <w:rFonts w:hint="eastAsia" w:ascii="仿宋_GB2312" w:hAnsi="仿宋_GB2312" w:eastAsia="仿宋_GB2312" w:cs="仿宋_GB2312"/>
          <w:color w:val="auto"/>
          <w:sz w:val="32"/>
          <w:szCs w:val="32"/>
          <w:highlight w:val="none"/>
        </w:rPr>
        <w:t>在网上挂牌交易结果公布</w:t>
      </w:r>
      <w:r>
        <w:rPr>
          <w:rFonts w:hint="eastAsia" w:ascii="仿宋_GB2312" w:hAnsi="仿宋_GB2312" w:eastAsia="仿宋_GB2312" w:cs="仿宋_GB2312"/>
          <w:color w:val="auto"/>
          <w:sz w:val="32"/>
          <w:szCs w:val="32"/>
          <w:highlight w:val="none"/>
          <w:lang w:val="en-US" w:eastAsia="zh-CN"/>
        </w:rPr>
        <w:t>之日起5</w:t>
      </w:r>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《成交确认书》</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（1）《竞买申请书》（加盖公章）。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（2）《竞价结果通知书》（加盖公章）。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（3）《竞买保证金到账通知书》（加盖公章）。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（4）转账凭证复印件（加盖公章）。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（5）申请竞买人有效的《营业执照》复印件（加盖公章）（二份）。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（6）法定代表人身份证复印件（加盖公章）（二份）。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（7）授权他人代理的授权委托书及代理人身份证复印件（核对原件）。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（8）联合竞买协议（联合竞买的提供）。</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（9）竞买人及其控股股东不存在违法、违规、违约行为的承诺书。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上述第（7）、（9）项材料须使用本中心标准样本，可在本系统的“挂牌文件”中下载。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竞买人如需保存上述竞买报名资料应自留备份，本中心不予退还。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联合竞买协议要约定联合各方的权利和义务。必须明确表达参与联合竞买的各方、参与竞买的代表人、联合各方的出资比例和签订《出让合同》时的受让人。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上述文件中，申请书必须用中文书写，其他文件可以使用其它语言，但必须附中文译本，所有文件的解释以中文译本为准。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（七）网上挂牌出让结果公示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我中心将在本次国有建设用地使用权网上挂牌出让活动结束后10个工作日内，在中国土地市场网、惠州市公共资源交易中心网和本中心电子显示屏公布本次国有土地使用权网上挂牌出让结果。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十六、注意事项</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（二）本次国有建设用地使用权网上挂牌出让为无底价挂牌出让，按照价高者得的原则确定竞得人。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w:t>
      </w:r>
      <w:r>
        <w:rPr>
          <w:rFonts w:hint="default" w:ascii="仿宋_GB2312" w:hAnsi="仿宋_GB2312" w:eastAsia="仿宋_GB2312" w:cs="仿宋_GB2312"/>
          <w:kern w:val="2"/>
          <w:sz w:val="32"/>
          <w:szCs w:val="32"/>
          <w:lang w:val="en-US" w:eastAsia="zh-CN" w:bidi="ar-SA"/>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w:t>
      </w:r>
      <w:r>
        <w:rPr>
          <w:rFonts w:hint="eastAsia" w:ascii="仿宋_GB2312" w:hAnsi="仿宋_GB2312" w:eastAsia="仿宋_GB2312" w:cs="仿宋_GB2312"/>
          <w:kern w:val="2"/>
          <w:sz w:val="32"/>
          <w:szCs w:val="32"/>
          <w:lang w:val="en-US" w:eastAsia="zh-CN" w:bidi="ar-SA"/>
        </w:rPr>
        <w:t>补充条款</w:t>
      </w:r>
      <w:r>
        <w:rPr>
          <w:rFonts w:hint="default" w:ascii="仿宋_GB2312" w:hAnsi="仿宋_GB2312" w:eastAsia="仿宋_GB2312" w:cs="仿宋_GB2312"/>
          <w:kern w:val="2"/>
          <w:sz w:val="32"/>
          <w:szCs w:val="32"/>
          <w:lang w:val="en-US" w:eastAsia="zh-CN" w:bidi="ar-SA"/>
        </w:rPr>
        <w:t>；也可按约定直接与新公司签订《出让合同》。</w:t>
      </w:r>
    </w:p>
    <w:p>
      <w:pPr>
        <w:spacing w:line="560" w:lineRule="exact"/>
        <w:ind w:firstLine="627" w:firstLineChars="196"/>
        <w:jc w:val="both"/>
        <w:rPr>
          <w:rFonts w:hint="eastAsia" w:ascii="Times New Roman" w:hAnsi="Times New Roman" w:eastAsia="仿宋_GB2312" w:cs="Times New Roman"/>
          <w:kern w:val="2"/>
          <w:sz w:val="32"/>
          <w:szCs w:val="32"/>
          <w:highlight w:val="none"/>
          <w:lang w:val="en-US" w:eastAsia="zh-CN" w:bidi="ar"/>
        </w:rPr>
      </w:pPr>
      <w:r>
        <w:rPr>
          <w:rFonts w:hint="eastAsia" w:ascii="仿宋_GB2312" w:hAnsi="仿宋_GB2312" w:eastAsia="仿宋_GB2312" w:cs="仿宋_GB2312"/>
          <w:kern w:val="2"/>
          <w:sz w:val="32"/>
          <w:szCs w:val="32"/>
          <w:lang w:val="en-US" w:eastAsia="zh-CN" w:bidi="ar-SA"/>
        </w:rPr>
        <w:t>（四）</w:t>
      </w:r>
      <w:r>
        <w:rPr>
          <w:rFonts w:hint="default" w:ascii="仿宋_GB2312" w:hAnsi="仿宋_GB2312" w:eastAsia="仿宋_GB2312" w:cs="仿宋_GB2312"/>
          <w:kern w:val="2"/>
          <w:sz w:val="32"/>
          <w:szCs w:val="32"/>
          <w:lang w:val="en-US" w:eastAsia="zh-CN" w:bidi="ar-SA"/>
        </w:rPr>
        <w:t>联合申请竞买的，联合竞买人在提交竞买申请材料时，须提交一份联合竞买申请书和协议，协议主要规定联合各</w:t>
      </w:r>
      <w:r>
        <w:rPr>
          <w:rFonts w:hint="default" w:ascii="Times New Roman" w:hAnsi="Times New Roman" w:eastAsia="仿宋_GB2312" w:cs="Times New Roman"/>
          <w:kern w:val="2"/>
          <w:sz w:val="32"/>
          <w:szCs w:val="32"/>
          <w:highlight w:val="none"/>
          <w:lang w:val="en-US" w:eastAsia="zh-CN" w:bidi="ar"/>
        </w:rPr>
        <w:t>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w:t>
      </w:r>
      <w:r>
        <w:rPr>
          <w:rFonts w:hint="eastAsia" w:ascii="Times New Roman" w:hAnsi="Times New Roman" w:eastAsia="仿宋_GB2312" w:cs="Times New Roman"/>
          <w:kern w:val="2"/>
          <w:sz w:val="32"/>
          <w:szCs w:val="32"/>
          <w:highlight w:val="none"/>
          <w:lang w:val="en-US" w:eastAsia="zh-CN" w:bidi="ar"/>
        </w:rPr>
        <w:t>补充条款</w:t>
      </w:r>
      <w:r>
        <w:rPr>
          <w:rFonts w:hint="default" w:ascii="Times New Roman" w:hAnsi="Times New Roman" w:eastAsia="仿宋_GB2312" w:cs="Times New Roman"/>
          <w:kern w:val="2"/>
          <w:sz w:val="32"/>
          <w:szCs w:val="32"/>
          <w:highlight w:val="none"/>
          <w:lang w:val="en-US" w:eastAsia="zh-CN" w:bidi="ar"/>
        </w:rPr>
        <w:t>；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（五）确定竞得人后，竞得人持《竞价结果通知书》以及参加本宗地网上挂牌交易的所须资料到惠州市公共资源交易中心土地矿业交易部申办相关成交确认手续。</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《竞价结果通知书》对挂牌人和竞得人具有法律效力，挂牌人改变网上挂牌结果的，或者竞得人放弃竞得宗地的，应当承担相应法律责任。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六）网上挂牌系统确定成交后，竞得人缴纳的竞买保证金按成交价的10%转作定金。如竞买保证金不足以缴纳定金，不足部分在交易系统确定成交之日起5个工作日内补齐；如竞买保证金转作定金后有剩余，余额抵作土地成交价的预付款。竞得人签订《出让合同》后，定金可抵作土地成交价款，余额转作成交价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以外币缴交竞买保证金的，扣除定金后余额部分返回给竞得人，待竞得人按时缴清成交价款后，再将定金退还，不计利息。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r>
        <w:rPr>
          <w:rFonts w:hint="eastAsia" w:ascii="仿宋_GB2312" w:hAnsi="仿宋_GB2312" w:eastAsia="仿宋_GB2312" w:cs="仿宋_GB2312"/>
          <w:b/>
          <w:bCs/>
          <w:sz w:val="32"/>
          <w:szCs w:val="32"/>
          <w:highlight w:val="none"/>
          <w:shd w:val="clear" w:color="auto" w:fill="auto"/>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为避免网络延迟问题，竞买人首次出价应在网上挂牌截止前10分钟出价，以防止网上挂牌交易无法及时接收到报价的情况发生。5分钟倒计时竞价期间，请不要在最后时段报价，以防网络延时造成报价提交不成功。</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（八）有下列情形之一的，本中心将暂停、中止或终止网上挂牌交易活动：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1、网上挂牌交易系统受到网络恶意入侵的。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2、因网上挂牌交易系统遭受破坏或发生电力、网络故障等不可抗力因素，导致网上挂牌交易系统不能正常运行的。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3、网上挂牌交易委托人根据有关规定要求暂停、中止或终止网上挂牌交易活动的。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4、涉及土地或矿业权纠纷，不能及时解决的。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5、司法机关要求暂停、中止或终止网上挂牌交易活动的。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6、市自然资源管理部门或交易中心认为应当暂停、中止或终止网上挂牌交易活动的其他情形。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（九）网上挂牌成交价即为该幅地块的总地价款，竞得人除支付成交价款外，还需支付契税、印花税等有关费用。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（十）竞得人与出让人签订《出让合同》后，应当按出让合同约定支付网上挂牌成交价款。竞得人付清全部网上挂牌成交价款后，依法申请办理土地登记，领取《不动产权证书》。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（十一）网上挂牌不成交的，应当按规定由委托方和本中心重新组织出让。</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（十二）本中心认为需要对网上挂牌出让须知、公告及相关交易文件作出修改、补充时，将通过原公告发布渠道公告，不作另行通知。</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（十三）本须知及公告涉及的时间期限，以惠州市公共资源交易中心土地与矿业网上挂牌交易系统服务器的时间为准。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（十四）竞买人在本次网上挂牌交易过程中与惠州市公共资源交易中心发生任何争议，由双方协商。协商不成的可依法提交惠州市仲裁机构仲裁解决。</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（十五）本中心对本《须知》有解释权。未尽事宜依照《招标拍卖挂牌出让国有土地使用权规范》办理。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惠州市公共资源交易中心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eastAsia="仿宋_GB2312"/>
          <w:lang w:val="en-US" w:eastAsia="zh-CN"/>
        </w:rPr>
      </w:pPr>
      <w:r>
        <w:rPr>
          <w:rFonts w:hint="eastAsia" w:ascii="仿宋_GB2312" w:hAnsi="仿宋_GB2312" w:eastAsia="仿宋_GB2312" w:cs="仿宋_GB2312"/>
          <w:kern w:val="2"/>
          <w:sz w:val="32"/>
          <w:szCs w:val="32"/>
          <w:lang w:val="en-US" w:eastAsia="zh-CN" w:bidi="ar-SA"/>
        </w:rPr>
        <w:t xml:space="preserve">                         2021年11月1</w:t>
      </w:r>
      <w:bookmarkStart w:id="0" w:name="_GoBack"/>
      <w:bookmarkEnd w:id="0"/>
      <w:r>
        <w:rPr>
          <w:rFonts w:hint="eastAsia" w:ascii="仿宋_GB2312" w:hAnsi="仿宋_GB2312" w:eastAsia="仿宋_GB2312" w:cs="仿宋_GB2312"/>
          <w:kern w:val="2"/>
          <w:sz w:val="32"/>
          <w:szCs w:val="32"/>
          <w:lang w:val="en-US" w:eastAsia="zh-CN" w:bidi="ar-SA"/>
        </w:rPr>
        <w:t>日</w:t>
      </w:r>
      <w:r>
        <w:rPr>
          <w:rFonts w:hint="eastAsia" w:ascii="仿宋_GB2312" w:hAnsi="宋体" w:eastAsia="仿宋_GB2312" w:cs="仿宋_GB2312"/>
          <w:sz w:val="25"/>
          <w:szCs w:val="25"/>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outlineLvl w:val="9"/>
      </w:pPr>
    </w:p>
    <w:sectPr>
      <w:footerReference r:id="rId3" w:type="default"/>
      <w:pgSz w:w="11906" w:h="16838"/>
      <w:pgMar w:top="1440" w:right="1485"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73EF0"/>
    <w:rsid w:val="0398491D"/>
    <w:rsid w:val="03B8279E"/>
    <w:rsid w:val="04C579EB"/>
    <w:rsid w:val="07175A66"/>
    <w:rsid w:val="07DE34CF"/>
    <w:rsid w:val="08E86ED8"/>
    <w:rsid w:val="0C29337A"/>
    <w:rsid w:val="15937805"/>
    <w:rsid w:val="1F973EF0"/>
    <w:rsid w:val="31EC2995"/>
    <w:rsid w:val="33B40EC2"/>
    <w:rsid w:val="377D59C2"/>
    <w:rsid w:val="3E910382"/>
    <w:rsid w:val="40040C85"/>
    <w:rsid w:val="45622B90"/>
    <w:rsid w:val="45B02BB7"/>
    <w:rsid w:val="478005E7"/>
    <w:rsid w:val="49DD3017"/>
    <w:rsid w:val="4FDF4DC1"/>
    <w:rsid w:val="51724468"/>
    <w:rsid w:val="68801B1A"/>
    <w:rsid w:val="69FE57C5"/>
    <w:rsid w:val="6CC001F7"/>
    <w:rsid w:val="73A8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仿宋_GB2312"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5">
    <w:name w:val="first-child"/>
    <w:basedOn w:val="6"/>
    <w:qFormat/>
    <w:uiPriority w:val="0"/>
  </w:style>
  <w:style w:type="character" w:customStyle="1" w:styleId="16">
    <w:name w:val="actspan2"/>
    <w:basedOn w:val="6"/>
    <w:qFormat/>
    <w:uiPriority w:val="0"/>
  </w:style>
  <w:style w:type="character" w:customStyle="1" w:styleId="17">
    <w:name w:val="layui-layer-tabnow"/>
    <w:basedOn w:val="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2021-08-10T02:46:00Z</dcterms:created>
  <dc:creator>杨惠丹</dc:creator>
  <cp:lastModifiedBy>叶舒</cp:lastModifiedBy>
  <cp:lastPrinted>2021-10-27T00:57:00Z</cp:lastPrinted>
  <dcterms:modified xsi:type="dcterms:W3CDTF">2021-11-02T01:17:41Z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